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7422" w14:textId="03E9B20A" w:rsidR="00160818" w:rsidRPr="00EE3A9F" w:rsidRDefault="001D37B8">
      <w:pPr>
        <w:rPr>
          <w:b/>
          <w:bCs/>
          <w:sz w:val="28"/>
          <w:szCs w:val="28"/>
        </w:rPr>
      </w:pPr>
    </w:p>
    <w:p w14:paraId="375FCDC0" w14:textId="44245AEF" w:rsidR="00EE3A9F" w:rsidRPr="00EE3A9F" w:rsidRDefault="00EE3A9F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EE3A9F">
        <w:rPr>
          <w:rFonts w:ascii="Arial" w:hAnsi="Arial" w:cs="Arial"/>
          <w:b/>
          <w:bCs/>
          <w:sz w:val="28"/>
          <w:szCs w:val="28"/>
          <w:lang w:val="de-DE"/>
        </w:rPr>
        <w:t>Schwere Vorwürfe gegen Schweizer Zementkonzern</w:t>
      </w:r>
    </w:p>
    <w:p w14:paraId="41C16AD3" w14:textId="5BFB0BE2" w:rsidR="00EE3A9F" w:rsidRPr="00EE3A9F" w:rsidRDefault="00EE3A9F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EE3A9F">
        <w:rPr>
          <w:rFonts w:ascii="Arial" w:hAnsi="Arial" w:cs="Arial"/>
          <w:b/>
          <w:bCs/>
          <w:sz w:val="28"/>
          <w:szCs w:val="28"/>
          <w:lang w:val="de-DE"/>
        </w:rPr>
        <w:t>„Ho</w:t>
      </w:r>
      <w:r>
        <w:rPr>
          <w:rFonts w:ascii="Arial" w:hAnsi="Arial" w:cs="Arial"/>
          <w:b/>
          <w:bCs/>
          <w:sz w:val="28"/>
          <w:szCs w:val="28"/>
          <w:lang w:val="de-DE"/>
        </w:rPr>
        <w:t>l</w:t>
      </w:r>
      <w:r w:rsidRPr="00EE3A9F">
        <w:rPr>
          <w:rFonts w:ascii="Arial" w:hAnsi="Arial" w:cs="Arial"/>
          <w:b/>
          <w:bCs/>
          <w:sz w:val="28"/>
          <w:szCs w:val="28"/>
          <w:lang w:val="de-DE"/>
        </w:rPr>
        <w:t>cim beutet uns aus!“</w:t>
      </w:r>
    </w:p>
    <w:p w14:paraId="58A0B152" w14:textId="77777777" w:rsidR="00EE3A9F" w:rsidRPr="00EE3A9F" w:rsidRDefault="00EE3A9F" w:rsidP="00EE3A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CH" w:eastAsia="en-CH"/>
        </w:rPr>
      </w:pP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Über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eine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Milliarde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Franken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Dividende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schüttet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Holcim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für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die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Aktionäre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aus.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Dafür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spart der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Zementriese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bei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den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Angestellten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. Die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protestieren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gegen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Entlassungen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– und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ziehen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vor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Gericht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.</w:t>
      </w:r>
    </w:p>
    <w:p w14:paraId="3B174238" w14:textId="77777777" w:rsidR="00EE3A9F" w:rsidRPr="00EE3A9F" w:rsidRDefault="00EE3A9F" w:rsidP="00EE3A9F">
      <w:pPr>
        <w:rPr>
          <w:rFonts w:ascii="Arial" w:eastAsia="Times New Roman" w:hAnsi="Arial" w:cs="Arial"/>
          <w:b/>
          <w:bCs/>
          <w:color w:val="000000"/>
          <w:lang w:val="en-CH" w:eastAsia="en-CH"/>
        </w:rPr>
      </w:pPr>
    </w:p>
    <w:p w14:paraId="27C9DB4F" w14:textId="77777777" w:rsidR="00EE3A9F" w:rsidRPr="00EE3A9F" w:rsidRDefault="00EE3A9F" w:rsidP="00EE3A9F">
      <w:pPr>
        <w:rPr>
          <w:rFonts w:ascii="Arial" w:eastAsia="Times New Roman" w:hAnsi="Arial" w:cs="Arial"/>
          <w:b/>
          <w:bCs/>
          <w:color w:val="000000"/>
          <w:lang w:val="de-DE" w:eastAsia="en-CH"/>
        </w:rPr>
      </w:pPr>
      <w:r w:rsidRPr="00EE3A9F">
        <w:rPr>
          <w:rFonts w:ascii="Arial" w:eastAsia="Times New Roman" w:hAnsi="Arial" w:cs="Arial"/>
          <w:b/>
          <w:bCs/>
          <w:color w:val="000000"/>
          <w:lang w:val="de-DE" w:eastAsia="en-CH"/>
        </w:rPr>
        <w:t>Danby Schlumpf</w:t>
      </w:r>
    </w:p>
    <w:p w14:paraId="291B1564" w14:textId="0CC9435C" w:rsidR="00A119A3" w:rsidRPr="00A119A3" w:rsidRDefault="00A119A3" w:rsidP="00A119A3">
      <w:pPr>
        <w:pStyle w:val="NoSpacing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Kommentar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zu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003C27">
        <w:rPr>
          <w:rFonts w:ascii="Arial" w:hAnsi="Arial" w:cs="Arial"/>
          <w:i/>
          <w:iCs/>
        </w:rPr>
        <w:t>7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Fotos</w:t>
      </w:r>
      <w:proofErr w:type="spellEnd"/>
      <w:r>
        <w:rPr>
          <w:rFonts w:ascii="Arial" w:hAnsi="Arial" w:cs="Arial"/>
          <w:i/>
          <w:iCs/>
        </w:rPr>
        <w:t>:</w:t>
      </w:r>
    </w:p>
    <w:p w14:paraId="098B2B71" w14:textId="77777777" w:rsidR="00A119A3" w:rsidRDefault="00A119A3" w:rsidP="00A119A3">
      <w:pPr>
        <w:pStyle w:val="NoSpacing"/>
        <w:rPr>
          <w:rFonts w:ascii="Arial" w:hAnsi="Arial" w:cs="Arial"/>
          <w:i/>
          <w:iCs/>
          <w:lang w:val="de-DE"/>
        </w:rPr>
      </w:pPr>
    </w:p>
    <w:p w14:paraId="7FA201F8" w14:textId="3EC87F98" w:rsidR="00C61C7B" w:rsidRDefault="00A119A3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</w:t>
      </w:r>
      <w:r w:rsidR="00C61C7B" w:rsidRPr="00A119A3">
        <w:rPr>
          <w:rFonts w:ascii="Arial" w:hAnsi="Arial" w:cs="Arial"/>
          <w:i/>
          <w:iCs/>
          <w:lang w:val="de-DE"/>
        </w:rPr>
        <w:t>oto 1</w:t>
      </w:r>
      <w:r>
        <w:rPr>
          <w:rFonts w:ascii="Arial" w:hAnsi="Arial" w:cs="Arial"/>
          <w:i/>
          <w:iCs/>
          <w:lang w:val="de-DE"/>
        </w:rPr>
        <w:t>.</w:t>
      </w:r>
      <w:r w:rsidR="00C61C7B" w:rsidRPr="00A119A3">
        <w:rPr>
          <w:rFonts w:ascii="Arial" w:hAnsi="Arial" w:cs="Arial"/>
          <w:i/>
          <w:iCs/>
          <w:lang w:val="de-DE"/>
        </w:rPr>
        <w:t xml:space="preserve"> </w:t>
      </w:r>
      <w:r w:rsidRPr="00A119A3">
        <w:rPr>
          <w:rFonts w:ascii="Arial" w:hAnsi="Arial" w:cs="Arial"/>
          <w:i/>
          <w:iCs/>
          <w:lang w:val="de-DE"/>
        </w:rPr>
        <w:t>N</w:t>
      </w:r>
      <w:r w:rsidR="00C61C7B" w:rsidRPr="00A119A3">
        <w:rPr>
          <w:rFonts w:ascii="Arial" w:hAnsi="Arial" w:cs="Arial"/>
          <w:i/>
          <w:iCs/>
          <w:lang w:val="de-DE"/>
        </w:rPr>
        <w:t>ach einer Massene</w:t>
      </w:r>
      <w:r w:rsidRPr="00A119A3">
        <w:rPr>
          <w:rFonts w:ascii="Arial" w:hAnsi="Arial" w:cs="Arial"/>
          <w:i/>
          <w:iCs/>
          <w:lang w:val="de-DE"/>
        </w:rPr>
        <w:t>ntlassung im Holcim-Werk in der philippinischen Stadt Davao kam es zu protesten.</w:t>
      </w:r>
    </w:p>
    <w:p w14:paraId="1845EAFA" w14:textId="77777777" w:rsidR="00E44E44" w:rsidRDefault="00A119A3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Foto</w:t>
      </w:r>
      <w:r w:rsidR="00607A02">
        <w:rPr>
          <w:rFonts w:ascii="Arial" w:hAnsi="Arial" w:cs="Arial"/>
          <w:i/>
          <w:iCs/>
          <w:lang w:val="de-DE"/>
        </w:rPr>
        <w:t xml:space="preserve"> 2. Die gewerkschaft Bau- und Holzarbeiter Internationale (BHI) wirft Holcim vor, Arbeitn</w:t>
      </w:r>
      <w:r w:rsidR="00E44E44">
        <w:rPr>
          <w:rFonts w:ascii="Arial" w:hAnsi="Arial" w:cs="Arial"/>
          <w:i/>
          <w:iCs/>
          <w:lang w:val="de-DE"/>
        </w:rPr>
        <w:t>ehmerrechte zu verletzen.</w:t>
      </w:r>
    </w:p>
    <w:p w14:paraId="3B7250E5" w14:textId="77777777" w:rsidR="00E44E44" w:rsidRDefault="00E44E44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Foto 3. Im Holcim-Werk von Davao wurden 141 Leiharbeiter entlassen.</w:t>
      </w:r>
    </w:p>
    <w:p w14:paraId="2C3134DF" w14:textId="77777777" w:rsidR="00E52927" w:rsidRDefault="00E52927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Foto 4. „Es war ein schock“, sagt der Entlassene Gilbert Dusal.</w:t>
      </w:r>
    </w:p>
    <w:p w14:paraId="2D19D072" w14:textId="77777777" w:rsidR="00003C27" w:rsidRDefault="00E52927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Foto 5. „Es liegt im Interesse des Konzern, dass wir mundtot gemacht werden“, sagt Gewerkschafter</w:t>
      </w:r>
      <w:r w:rsidR="00003C27">
        <w:rPr>
          <w:rFonts w:ascii="Arial" w:hAnsi="Arial" w:cs="Arial"/>
          <w:i/>
          <w:iCs/>
          <w:lang w:val="de-DE"/>
        </w:rPr>
        <w:t xml:space="preserve"> Michael Ibanez.</w:t>
      </w:r>
    </w:p>
    <w:p w14:paraId="5F761EC0" w14:textId="77777777" w:rsidR="00511388" w:rsidRDefault="00003C27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Foto 7. Davao sei kein Einzelfall, so der Vorwurf der Gewerkschaft an Holcim.</w:t>
      </w:r>
    </w:p>
    <w:p w14:paraId="6C2E6757" w14:textId="7E6226D3" w:rsidR="00A119A3" w:rsidRPr="00A119A3" w:rsidRDefault="00511388" w:rsidP="00A119A3">
      <w:pPr>
        <w:pStyle w:val="NoSpacing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Foto 8. Holcim widerspricht: man arbeite in voller Übereinstimmung mit den </w:t>
      </w:r>
      <w:r w:rsidR="0051461C">
        <w:rPr>
          <w:rFonts w:ascii="Arial" w:hAnsi="Arial" w:cs="Arial"/>
          <w:i/>
          <w:iCs/>
          <w:lang w:val="de-DE"/>
        </w:rPr>
        <w:t>Arbeitsgesetzen des entsprechenden Landes un den internationalen Richtlinien.</w:t>
      </w:r>
      <w:r w:rsidR="00E44E44">
        <w:rPr>
          <w:rFonts w:ascii="Arial" w:hAnsi="Arial" w:cs="Arial"/>
          <w:i/>
          <w:iCs/>
          <w:lang w:val="de-DE"/>
        </w:rPr>
        <w:t xml:space="preserve"> </w:t>
      </w:r>
    </w:p>
    <w:p w14:paraId="62E1A684" w14:textId="0D653B56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Rund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um die Welt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kündigen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Regierungen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gewaltige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Konjunkturprogramme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Ankurbelung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Wirtschaft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an: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gute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Nachrichten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weltgrössten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Zementkonzern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Holcim.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Denn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baut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braucht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Beton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05BE0F44" w14:textId="675C5A19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An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Generalversammlung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versprühte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das Schweizer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deshalb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Dienstag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Zuversicht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trotz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13Prozent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Umsatzrückgang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Pandemie-Jahr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Aktionäre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dürfen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freuen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: Sie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kassieren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Dividenden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Gesamtumfang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von 1,2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Milliarden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Franken.</w:t>
      </w:r>
    </w:p>
    <w:p w14:paraId="23BE46C2" w14:textId="77777777" w:rsidR="00EE3A9F" w:rsidRPr="00EE3A9F" w:rsidRDefault="00EE3A9F" w:rsidP="00EE3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CH" w:eastAsia="en-CH"/>
        </w:rPr>
      </w:pP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Überraschend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,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denn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der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Konzern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steckt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mitten in der Klima-Transformation. Die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Zementherstellung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verursacht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acht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Prozent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der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globalen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Treibhausgase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.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Produzenten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müssen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deshalb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auf CO2-freien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Beton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umstellen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. Und das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kostet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>.</w:t>
      </w:r>
    </w:p>
    <w:p w14:paraId="55AD34ED" w14:textId="77777777" w:rsidR="00EE3A9F" w:rsidRPr="00EE3A9F" w:rsidRDefault="00EE3A9F" w:rsidP="00EE3A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lang w:val="en-CH" w:eastAsia="en-CH"/>
        </w:rPr>
      </w:pP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Sparen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durch</w:t>
      </w:r>
      <w:proofErr w:type="spellEnd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t>Reduktion</w:t>
      </w:r>
      <w:proofErr w:type="spellEnd"/>
    </w:p>
    <w:p w14:paraId="70D447A1" w14:textId="77777777" w:rsidR="00EE3A9F" w:rsidRPr="00EE3A9F" w:rsidRDefault="00EE3A9F" w:rsidP="00EE3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CH" w:eastAsia="en-CH"/>
        </w:rPr>
      </w:pP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Bloss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: Wie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sparen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–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wenn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nicht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bei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den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Dividenden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>?</w:t>
      </w:r>
    </w:p>
    <w:p w14:paraId="1ACCDC08" w14:textId="4021F227" w:rsidR="00EE3A9F" w:rsidRPr="00EE3A9F" w:rsidRDefault="00EE3A9F" w:rsidP="00EE3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CH" w:eastAsia="en-CH"/>
        </w:rPr>
      </w:pP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Zuerst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einmal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durch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Reduktion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. Holcim hat seine Werke in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Indonesien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, Malaysia, Sri Lanka, Vietnam und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Singapur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abgestossen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.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Gerüchte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gehen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um, es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treffe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demnächst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auch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 xml:space="preserve"> </w:t>
      </w:r>
      <w:proofErr w:type="spellStart"/>
      <w:r w:rsidRPr="00EE3A9F">
        <w:rPr>
          <w:rFonts w:ascii="Arial" w:eastAsia="Times New Roman" w:hAnsi="Arial" w:cs="Arial"/>
          <w:color w:val="000000"/>
          <w:lang w:val="en-CH" w:eastAsia="en-CH"/>
        </w:rPr>
        <w:t>Brasilien</w:t>
      </w:r>
      <w:proofErr w:type="spellEnd"/>
      <w:r w:rsidRPr="00EE3A9F">
        <w:rPr>
          <w:rFonts w:ascii="Arial" w:eastAsia="Times New Roman" w:hAnsi="Arial" w:cs="Arial"/>
          <w:color w:val="000000"/>
          <w:lang w:val="en-CH" w:eastAsia="en-CH"/>
        </w:rPr>
        <w:t>.</w:t>
      </w:r>
    </w:p>
    <w:p w14:paraId="22B29A96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Diese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Verkäufe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seien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wichtigste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Grund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warum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Belegschaft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letzten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fünf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Jahren von 100`000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Mitarbeitern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auf 70 `000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geschrumpft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sei,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38E1254A" w14:textId="77777777" w:rsidR="00EE3A9F" w:rsidRPr="00EE3A9F" w:rsidRDefault="00EE3A9F" w:rsidP="00EE3A9F">
      <w:pPr>
        <w:pStyle w:val="Heading3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Sieben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Tage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Arbeit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Mindestlohn</w:t>
      </w:r>
      <w:proofErr w:type="spellEnd"/>
    </w:p>
    <w:p w14:paraId="30605596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lastRenderedPageBreak/>
        <w:t>Doch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Bau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-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Holzarbeiter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Internationale (BHI)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widerspricht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Viel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einschneidender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sei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neue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Strategie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: «Das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lagert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alles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was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möglich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ist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Ambet Yuson (55),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Generalsekretär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BHI. Dazu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gehörten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Holcim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ersetze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immer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mehr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Festangestellte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durch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Rund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100`000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Subunternehmen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weltweit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7AC01CD4" w14:textId="371ED9D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Der spart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damit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Kosten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So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erhalten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Holcim-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Werk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philippinischen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Stadt Davao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zwei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Drittel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weniger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Lohn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als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Festangestellte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diesen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Mindestlohn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sieben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Tage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Woche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Gegensatz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Festangestellten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geniessen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Ferien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Vergünstigungen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müssen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teure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Schutzausrüstung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selbst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finanzieren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0F88EABE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Holcim ging das so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lange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gut, bis auf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Philippinen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neues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Gesetz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Einschränkung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erlassen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wurde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2019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verlangten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Behörden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Büezer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bestimmten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Bereichen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fest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anzustellen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12A2371E" w14:textId="77777777" w:rsidR="00EE3A9F" w:rsidRPr="00EE3A9F" w:rsidRDefault="00EE3A9F" w:rsidP="00EE3A9F">
      <w:pPr>
        <w:pStyle w:val="Heading3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«Holcim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beutet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!»</w:t>
      </w:r>
    </w:p>
    <w:p w14:paraId="7429474C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Firma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reagierte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–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entliess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sämtliche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141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Werk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von Davao City auf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Insel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Mindanao. «Es war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Schock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Gilbert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Dusal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(31).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Lademaschinenführer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gehörte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sein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Vater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Entlassenen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«Holcim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beutet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!»,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Dusal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jetzt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haben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gesetzt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.»</w:t>
      </w:r>
    </w:p>
    <w:p w14:paraId="6EA120CC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30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Entlassene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stellte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Firma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später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wieder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fest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Auffällig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Gewerkschaftsmitglieder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sind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darunter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ist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Kalkül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Michael Ibanez (47) von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Region Davao. «So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entledigt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gewerkschaftlich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engagieren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.»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Nach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Massenentlassung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organisierte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Ibanez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Streiks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Werk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Davao.</w:t>
      </w:r>
    </w:p>
    <w:p w14:paraId="36742B6B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Holcim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habe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Streikrecht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boykottiert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Ibanez. «Sie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riefen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immer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wieder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Polizei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welche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Demonstranten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einschüchterte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vertrieb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.»</w:t>
      </w:r>
    </w:p>
    <w:p w14:paraId="21B284B6" w14:textId="77777777" w:rsidR="00EE3A9F" w:rsidRPr="00EE3A9F" w:rsidRDefault="00EE3A9F" w:rsidP="00EE3A9F">
      <w:pPr>
        <w:pStyle w:val="Heading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Weitere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Verfahren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seien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Laufen</w:t>
      </w:r>
      <w:proofErr w:type="spellEnd"/>
    </w:p>
    <w:p w14:paraId="5899EF9D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In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sozialen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Medien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lief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Kampagne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Streikenden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Schlägertrupps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bedrohten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dem Holcim-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Werk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forderten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auf,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Angriffe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verurteilen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Holcim tat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nichts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Ibanez. «Es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liegt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ja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Interesse des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dass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mundtot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gemacht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werden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.»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widerspricht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: «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haben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diese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Taten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verurteilt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.»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betont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: «Alle von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Restrukturierung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betroffenen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Mitarbeiter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Auftragnehmer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wurden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angemessen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behandelt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entschädigt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.»</w:t>
      </w:r>
    </w:p>
    <w:p w14:paraId="248A4E67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sehen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Entlassenen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anders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gingen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Gericht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«Dort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versuchte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Verantwortung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auf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Subunternehmen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schieben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», so Ibanez. «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Dabei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ist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Firma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gemäss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internationalen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Richtlinien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verantwortlich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.» Ein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philippinisches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Berufungsgericht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teilte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diese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Auffassung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zwang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zwölf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entlassene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wieder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einzustellen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–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zwar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als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Festangestellte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Ein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weiteres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Verfahren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läuft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68EE7C43" w14:textId="77777777" w:rsidR="00EE3A9F" w:rsidRPr="00EE3A9F" w:rsidRDefault="00EE3A9F" w:rsidP="00EE3A9F">
      <w:pPr>
        <w:pStyle w:val="Heading3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missbrauche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seine Mitarbeiter</w:t>
      </w:r>
    </w:p>
    <w:p w14:paraId="2022150C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Staatssekretariat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Wirtschaft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(Seco)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beschäftigt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im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Rahmen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Mediationsverfahrens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ebenfalls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Ereignissen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auf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Philippinen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Morgen Montag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publiziert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dazu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seinen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Abschlussbericht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</w:t>
      </w:r>
    </w:p>
    <w:p w14:paraId="568E26C1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lastRenderedPageBreak/>
        <w:t>Doch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Davao sei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kein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Einzelfall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Bau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-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Holzarbeiter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Internationale.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Ausbeutung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Leiharbeiter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habe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System –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ebenso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das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Vorgehen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Gewerkschafter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«Der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Konzern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missbraucht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seine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weist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Verantwortung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von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sagt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BHI-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Generalsekretär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Ambet Yuson. «Das muss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aufhören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.»</w:t>
      </w:r>
    </w:p>
    <w:p w14:paraId="26719933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E3A9F">
        <w:rPr>
          <w:rFonts w:ascii="Arial" w:hAnsi="Arial" w:cs="Arial"/>
          <w:color w:val="000000"/>
          <w:sz w:val="22"/>
          <w:szCs w:val="22"/>
        </w:rPr>
        <w:t xml:space="preserve">Holcim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wehrt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sich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gegen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Vorwürfe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Nicht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nur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Belegschaft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habe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letzten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fünf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Jahren um 30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Prozent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abgenommen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 «Das gilt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auch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für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Subunternehmen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.» Man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arbeite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voller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Übereinstimmung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mit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Arbeitsgesetzen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entsprechenden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Landes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den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internationalen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Richtlinien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 «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Wir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unterhalten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einen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offenen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Kanal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zur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Konfliktlösung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und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teilen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regelmässig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Informationen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über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die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Entwicklung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 w:rsidRPr="00EE3A9F">
        <w:rPr>
          <w:rFonts w:ascii="Arial" w:hAnsi="Arial" w:cs="Arial"/>
          <w:color w:val="000000"/>
          <w:sz w:val="22"/>
          <w:szCs w:val="22"/>
        </w:rPr>
        <w:t>Unternehmens</w:t>
      </w:r>
      <w:proofErr w:type="spellEnd"/>
      <w:r w:rsidRPr="00EE3A9F">
        <w:rPr>
          <w:rFonts w:ascii="Arial" w:hAnsi="Arial" w:cs="Arial"/>
          <w:color w:val="000000"/>
          <w:sz w:val="22"/>
          <w:szCs w:val="22"/>
        </w:rPr>
        <w:t>.»</w:t>
      </w:r>
    </w:p>
    <w:p w14:paraId="3597EB71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1539470" w14:textId="77777777" w:rsidR="00EE3A9F" w:rsidRPr="00EE3A9F" w:rsidRDefault="00EE3A9F" w:rsidP="00EE3A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CH" w:eastAsia="en-CH"/>
        </w:rPr>
      </w:pPr>
    </w:p>
    <w:p w14:paraId="5CF96C56" w14:textId="77777777" w:rsidR="00EE3A9F" w:rsidRPr="00EE3A9F" w:rsidRDefault="00EE3A9F" w:rsidP="00EE3A9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BD80846" w14:textId="674CFC65" w:rsidR="00EE3A9F" w:rsidRPr="00EE3A9F" w:rsidRDefault="00EE3A9F" w:rsidP="00EE3A9F">
      <w:pPr>
        <w:rPr>
          <w:rFonts w:ascii="Arial" w:hAnsi="Arial" w:cs="Arial"/>
          <w:lang w:val="en-CH"/>
        </w:rPr>
      </w:pPr>
      <w:r w:rsidRPr="00EE3A9F">
        <w:rPr>
          <w:rFonts w:ascii="Arial" w:eastAsia="Times New Roman" w:hAnsi="Arial" w:cs="Arial"/>
          <w:b/>
          <w:bCs/>
          <w:color w:val="000000"/>
          <w:lang w:val="en-CH" w:eastAsia="en-CH"/>
        </w:rPr>
        <w:br/>
      </w:r>
    </w:p>
    <w:sectPr w:rsidR="00EE3A9F" w:rsidRPr="00EE3A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F"/>
    <w:rsid w:val="00003C27"/>
    <w:rsid w:val="001D37B8"/>
    <w:rsid w:val="002545CD"/>
    <w:rsid w:val="00511388"/>
    <w:rsid w:val="005131E8"/>
    <w:rsid w:val="0051461C"/>
    <w:rsid w:val="00607A02"/>
    <w:rsid w:val="00A119A3"/>
    <w:rsid w:val="00C61C7B"/>
    <w:rsid w:val="00C6457E"/>
    <w:rsid w:val="00E44E44"/>
    <w:rsid w:val="00E52927"/>
    <w:rsid w:val="00E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6A3DB"/>
  <w15:chartTrackingRefBased/>
  <w15:docId w15:val="{62AA9952-A716-47E1-8DCE-2EE5F99F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3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character" w:customStyle="1" w:styleId="Heading3Char">
    <w:name w:val="Heading 3 Char"/>
    <w:basedOn w:val="DefaultParagraphFont"/>
    <w:link w:val="Heading3"/>
    <w:uiPriority w:val="9"/>
    <w:rsid w:val="00EE3A9F"/>
    <w:rPr>
      <w:rFonts w:ascii="Times New Roman" w:eastAsia="Times New Roman" w:hAnsi="Times New Roman" w:cs="Times New Roman"/>
      <w:b/>
      <w:bCs/>
      <w:sz w:val="27"/>
      <w:szCs w:val="27"/>
      <w:lang w:val="en-CH" w:eastAsia="en-CH"/>
    </w:rPr>
  </w:style>
  <w:style w:type="paragraph" w:styleId="NoSpacing">
    <w:name w:val="No Spacing"/>
    <w:uiPriority w:val="1"/>
    <w:qFormat/>
    <w:rsid w:val="00A11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Redzepovic</dc:creator>
  <cp:keywords/>
  <dc:description/>
  <cp:lastModifiedBy>Jasmin Redzepovic</cp:lastModifiedBy>
  <cp:revision>10</cp:revision>
  <dcterms:created xsi:type="dcterms:W3CDTF">2021-05-10T08:04:00Z</dcterms:created>
  <dcterms:modified xsi:type="dcterms:W3CDTF">2021-05-10T08:24:00Z</dcterms:modified>
</cp:coreProperties>
</file>